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DCF40"/>
    <w:p w14:paraId="671AD839">
      <w:pPr>
        <w:spacing w:line="540" w:lineRule="exact"/>
        <w:jc w:val="center"/>
        <w:rPr>
          <w:rFonts w:hint="default" w:ascii="Times New Roman" w:hAnsi="Times New Roman" w:eastAsia="华文中宋" w:cs="Times New Roman"/>
          <w:b/>
          <w:kern w:val="0"/>
          <w:sz w:val="52"/>
          <w:szCs w:val="52"/>
        </w:rPr>
      </w:pPr>
    </w:p>
    <w:p w14:paraId="13FD5C53">
      <w:pPr>
        <w:spacing w:line="540" w:lineRule="exact"/>
        <w:rPr>
          <w:rFonts w:hint="default" w:ascii="Times New Roman" w:hAnsi="Times New Roman" w:eastAsia="华文中宋" w:cs="Times New Roman"/>
          <w:b/>
          <w:kern w:val="0"/>
          <w:sz w:val="52"/>
          <w:szCs w:val="52"/>
        </w:rPr>
      </w:pPr>
    </w:p>
    <w:p w14:paraId="250DE85C">
      <w:pPr>
        <w:spacing w:line="540" w:lineRule="exact"/>
        <w:jc w:val="center"/>
        <w:rPr>
          <w:rFonts w:hint="default" w:ascii="Times New Roman" w:hAnsi="Times New Roman" w:eastAsia="华文中宋" w:cs="Times New Roman"/>
          <w:b/>
          <w:kern w:val="0"/>
          <w:sz w:val="52"/>
          <w:szCs w:val="52"/>
        </w:rPr>
      </w:pPr>
    </w:p>
    <w:p w14:paraId="0D57C0A2">
      <w:pPr>
        <w:spacing w:line="540" w:lineRule="exact"/>
        <w:jc w:val="center"/>
        <w:rPr>
          <w:rFonts w:hint="default" w:ascii="Times New Roman" w:hAnsi="Times New Roman" w:eastAsia="华文中宋" w:cs="Times New Roman"/>
          <w:b/>
          <w:kern w:val="0"/>
          <w:sz w:val="52"/>
          <w:szCs w:val="52"/>
          <w:highlight w:val="yellow"/>
        </w:rPr>
      </w:pPr>
    </w:p>
    <w:p w14:paraId="411E9A3B">
      <w:pPr>
        <w:spacing w:line="700" w:lineRule="exact"/>
        <w:jc w:val="center"/>
        <w:rPr>
          <w:rFonts w:hint="default" w:ascii="Times New Roman" w:hAnsi="Times New Roman" w:eastAsia="仿宋_GB2312" w:cs="Times New Roman"/>
          <w:b/>
          <w:bCs/>
          <w:kern w:val="0"/>
          <w:sz w:val="48"/>
          <w:szCs w:val="48"/>
        </w:rPr>
      </w:pPr>
      <w:r>
        <w:rPr>
          <w:rFonts w:hint="eastAsia" w:ascii="方正小标宋简体" w:hAnsi="方正小标宋简体" w:eastAsia="方正小标宋简体" w:cs="方正小标宋简体"/>
          <w:b/>
          <w:bCs/>
          <w:kern w:val="0"/>
          <w:sz w:val="44"/>
          <w:szCs w:val="44"/>
        </w:rPr>
        <w:t>伊州财社[2023]79号自治区彩票公益金支持社会公益类项目特克斯县第一殡仪馆附属设施改造项目支出绩效评价报告</w:t>
      </w:r>
    </w:p>
    <w:p w14:paraId="19461022">
      <w:pPr>
        <w:spacing w:line="700" w:lineRule="exact"/>
        <w:ind w:firstLine="2088" w:firstLineChars="400"/>
        <w:jc w:val="left"/>
        <w:rPr>
          <w:rFonts w:hint="default" w:ascii="Times New Roman" w:hAnsi="Times New Roman" w:eastAsia="仿宋_GB2312" w:cs="Times New Roman"/>
          <w:b/>
          <w:bCs/>
          <w:kern w:val="0"/>
          <w:sz w:val="52"/>
          <w:szCs w:val="52"/>
        </w:rPr>
      </w:pPr>
    </w:p>
    <w:p w14:paraId="13110181">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765A2442">
      <w:pPr>
        <w:spacing w:line="540" w:lineRule="exact"/>
        <w:jc w:val="center"/>
        <w:rPr>
          <w:rFonts w:hint="default" w:ascii="Times New Roman" w:hAnsi="Times New Roman" w:eastAsia="仿宋_GB2312" w:cs="Times New Roman"/>
          <w:kern w:val="0"/>
          <w:sz w:val="32"/>
          <w:szCs w:val="32"/>
        </w:rPr>
      </w:pPr>
    </w:p>
    <w:p w14:paraId="53FE54B2">
      <w:pPr>
        <w:spacing w:line="540" w:lineRule="exact"/>
        <w:jc w:val="center"/>
        <w:rPr>
          <w:rFonts w:hint="default" w:ascii="Times New Roman" w:hAnsi="Times New Roman" w:eastAsia="仿宋_GB2312" w:cs="Times New Roman"/>
          <w:kern w:val="0"/>
          <w:sz w:val="32"/>
          <w:szCs w:val="32"/>
        </w:rPr>
      </w:pPr>
    </w:p>
    <w:p w14:paraId="2AC8AB76">
      <w:pPr>
        <w:spacing w:line="540" w:lineRule="exact"/>
        <w:jc w:val="center"/>
        <w:rPr>
          <w:rFonts w:hint="default" w:ascii="Times New Roman" w:hAnsi="Times New Roman" w:eastAsia="仿宋_GB2312" w:cs="Times New Roman"/>
          <w:kern w:val="0"/>
          <w:sz w:val="32"/>
          <w:szCs w:val="32"/>
        </w:rPr>
      </w:pPr>
    </w:p>
    <w:p w14:paraId="6801F34E">
      <w:pPr>
        <w:spacing w:line="540" w:lineRule="exact"/>
        <w:jc w:val="both"/>
        <w:rPr>
          <w:rFonts w:hint="default" w:ascii="Times New Roman" w:hAnsi="Times New Roman" w:eastAsia="仿宋_GB2312" w:cs="Times New Roman"/>
          <w:kern w:val="0"/>
          <w:sz w:val="32"/>
          <w:szCs w:val="32"/>
        </w:rPr>
      </w:pPr>
    </w:p>
    <w:p w14:paraId="558F0438">
      <w:pPr>
        <w:spacing w:line="540" w:lineRule="exact"/>
        <w:rPr>
          <w:rFonts w:hint="default" w:ascii="Times New Roman" w:hAnsi="Times New Roman" w:eastAsia="仿宋_GB2312" w:cs="Times New Roman"/>
          <w:kern w:val="0"/>
          <w:sz w:val="32"/>
          <w:szCs w:val="32"/>
        </w:rPr>
      </w:pPr>
    </w:p>
    <w:p w14:paraId="1EC9699F">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项目名称：特克斯县第一殡仪馆附属设施改造项目</w:t>
      </w:r>
    </w:p>
    <w:p w14:paraId="0EA8ADF7">
      <w:pPr>
        <w:spacing w:line="700" w:lineRule="exact"/>
        <w:ind w:firstLine="1280" w:firstLineChars="400"/>
        <w:jc w:val="left"/>
        <w:rPr>
          <w:rFonts w:hint="eastAsia"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特克斯县民政局</w:t>
      </w:r>
    </w:p>
    <w:p w14:paraId="567FD813">
      <w:pPr>
        <w:spacing w:line="700" w:lineRule="exact"/>
        <w:ind w:firstLine="1280" w:firstLineChars="400"/>
        <w:jc w:val="left"/>
        <w:rPr>
          <w:rFonts w:hint="eastAsia"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殡葬管理所</w:t>
      </w:r>
    </w:p>
    <w:p w14:paraId="56A2B1D6">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马义明</w:t>
      </w:r>
    </w:p>
    <w:p w14:paraId="66F5D800">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13</w:t>
      </w:r>
      <w:r>
        <w:rPr>
          <w:rFonts w:hint="default" w:ascii="Times New Roman" w:hAnsi="Times New Roman" w:eastAsia="仿宋_GB2312" w:cs="Times New Roman"/>
          <w:kern w:val="0"/>
          <w:sz w:val="32"/>
          <w:szCs w:val="32"/>
        </w:rPr>
        <w:t>日</w:t>
      </w:r>
    </w:p>
    <w:p w14:paraId="5AD877A7">
      <w:pPr>
        <w:spacing w:line="540" w:lineRule="exact"/>
        <w:jc w:val="center"/>
        <w:rPr>
          <w:rFonts w:hint="default" w:ascii="Times New Roman" w:hAnsi="Times New Roman" w:eastAsia="仿宋_GB2312" w:cs="Times New Roman"/>
          <w:kern w:val="0"/>
          <w:sz w:val="30"/>
          <w:szCs w:val="30"/>
        </w:rPr>
      </w:pPr>
    </w:p>
    <w:p w14:paraId="58E65969">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2199015B">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75E0DB1A">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09132A8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14FD9801">
      <w:pPr>
        <w:pStyle w:val="9"/>
        <w:numPr>
          <w:ilvl w:val="0"/>
          <w:numId w:val="0"/>
        </w:numPr>
        <w:spacing w:before="0" w:after="0" w:line="560" w:lineRule="exact"/>
        <w:ind w:firstLine="640" w:firstLineChars="200"/>
        <w:jc w:val="both"/>
        <w:rPr>
          <w:rFonts w:hint="default" w:ascii="Times New Roman" w:hAnsi="Times New Roman" w:eastAsia="方正仿宋_GBK" w:cs="Times New Roman"/>
          <w:b w:val="0"/>
          <w:bCs w:val="0"/>
          <w:kern w:val="2"/>
          <w:sz w:val="32"/>
          <w:szCs w:val="32"/>
          <w:highlight w:val="none"/>
          <w:lang w:val="en-US" w:eastAsia="zh-CN" w:bidi="ar-SA"/>
        </w:rPr>
      </w:pPr>
      <w:r>
        <w:rPr>
          <w:rFonts w:hint="default" w:ascii="Times New Roman" w:hAnsi="Times New Roman" w:eastAsia="方正仿宋_GBK" w:cs="Times New Roman"/>
          <w:b w:val="0"/>
          <w:bCs w:val="0"/>
          <w:kern w:val="2"/>
          <w:sz w:val="32"/>
          <w:szCs w:val="32"/>
          <w:highlight w:val="none"/>
          <w:lang w:val="en-US" w:eastAsia="zh-CN" w:bidi="ar-SA"/>
        </w:rPr>
        <w:t>为加强我县殡葬管理,推进殡葬改革,规范公民丧葬行为,保护生态环境,促进社会主义精神文明、生态文明建设。我局拟实施伊犁州特克斯县第一殡仪馆附属设施改造项</w:t>
      </w:r>
      <w:r>
        <w:rPr>
          <w:rFonts w:hint="eastAsia" w:ascii="Times New Roman" w:hAnsi="Times New Roman" w:eastAsia="方正仿宋_GBK" w:cs="Times New Roman"/>
          <w:b w:val="0"/>
          <w:bCs w:val="0"/>
          <w:kern w:val="2"/>
          <w:sz w:val="32"/>
          <w:szCs w:val="32"/>
          <w:highlight w:val="none"/>
          <w:lang w:val="en-US" w:eastAsia="zh-CN" w:bidi="ar-SA"/>
        </w:rPr>
        <w:t>目。</w:t>
      </w:r>
    </w:p>
    <w:p w14:paraId="06167100">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48565045">
      <w:pPr>
        <w:pStyle w:val="9"/>
        <w:numPr>
          <w:ilvl w:val="0"/>
          <w:numId w:val="0"/>
        </w:numPr>
        <w:spacing w:before="0" w:after="0" w:line="560" w:lineRule="exact"/>
        <w:ind w:firstLine="640" w:firstLineChars="200"/>
        <w:jc w:val="both"/>
        <w:rPr>
          <w:rFonts w:hint="default" w:ascii="Times New Roman" w:hAnsi="Times New Roman" w:eastAsia="方正仿宋_GBK" w:cs="Times New Roman"/>
          <w:b w:val="0"/>
          <w:bCs w:val="0"/>
          <w:kern w:val="2"/>
          <w:sz w:val="32"/>
          <w:szCs w:val="32"/>
          <w:highlight w:val="none"/>
          <w:lang w:val="en-US" w:eastAsia="zh-CN" w:bidi="ar-SA"/>
        </w:rPr>
      </w:pPr>
      <w:r>
        <w:rPr>
          <w:rFonts w:hint="default" w:ascii="Times New Roman" w:hAnsi="Times New Roman" w:eastAsia="方正仿宋_GBK" w:cs="Times New Roman"/>
          <w:b w:val="0"/>
          <w:bCs w:val="0"/>
          <w:kern w:val="2"/>
          <w:sz w:val="32"/>
          <w:szCs w:val="32"/>
          <w:highlight w:val="none"/>
          <w:lang w:val="en-US" w:eastAsia="zh-CN" w:bidi="ar-SA"/>
        </w:rPr>
        <w:t>项目主要内容</w:t>
      </w:r>
      <w:r>
        <w:rPr>
          <w:rFonts w:hint="eastAsia" w:ascii="Times New Roman" w:hAnsi="Times New Roman" w:eastAsia="方正仿宋_GBK" w:cs="Times New Roman"/>
          <w:b w:val="0"/>
          <w:bCs w:val="0"/>
          <w:kern w:val="2"/>
          <w:sz w:val="32"/>
          <w:szCs w:val="32"/>
          <w:highlight w:val="none"/>
          <w:lang w:val="en-US" w:eastAsia="zh-CN" w:bidi="ar-SA"/>
        </w:rPr>
        <w:t>:</w:t>
      </w:r>
      <w:r>
        <w:rPr>
          <w:rFonts w:hint="default" w:ascii="Times New Roman" w:hAnsi="Times New Roman" w:eastAsia="方正仿宋_GBK" w:cs="Times New Roman"/>
          <w:b w:val="0"/>
          <w:bCs w:val="0"/>
          <w:kern w:val="2"/>
          <w:sz w:val="32"/>
          <w:szCs w:val="32"/>
          <w:highlight w:val="none"/>
          <w:lang w:val="en-US" w:eastAsia="zh-CN" w:bidi="ar-SA"/>
        </w:rPr>
        <w:t>为进一步提升特克斯县殡葬管理工作水平，建设2800平方米殡仪馆的附属设施，推动殡葬事业更好服务于保障和改善民生，达到维稳和构建和谐社会的目的，也是党和政府关心群众的充分体现。</w:t>
      </w:r>
    </w:p>
    <w:p w14:paraId="517ED9ED">
      <w:pPr>
        <w:pStyle w:val="9"/>
        <w:numPr>
          <w:ilvl w:val="0"/>
          <w:numId w:val="0"/>
        </w:numPr>
        <w:spacing w:before="0" w:after="0" w:line="560" w:lineRule="exact"/>
        <w:ind w:firstLine="640" w:firstLineChars="200"/>
        <w:jc w:val="both"/>
        <w:rPr>
          <w:rFonts w:hint="default" w:ascii="Times New Roman" w:hAnsi="Times New Roman" w:eastAsia="方正仿宋_GBK" w:cs="Times New Roman"/>
          <w:b w:val="0"/>
          <w:bCs w:val="0"/>
          <w:kern w:val="2"/>
          <w:sz w:val="32"/>
          <w:szCs w:val="32"/>
          <w:highlight w:val="none"/>
          <w:lang w:val="en-US" w:eastAsia="zh-CN" w:bidi="ar-SA"/>
        </w:rPr>
      </w:pPr>
      <w:r>
        <w:rPr>
          <w:rFonts w:hint="default" w:ascii="Times New Roman" w:hAnsi="Times New Roman" w:eastAsia="方正仿宋_GBK" w:cs="Times New Roman"/>
          <w:b w:val="0"/>
          <w:bCs w:val="0"/>
          <w:kern w:val="2"/>
          <w:sz w:val="32"/>
          <w:szCs w:val="32"/>
          <w:highlight w:val="none"/>
          <w:lang w:val="en-US" w:eastAsia="zh-CN" w:bidi="ar-SA"/>
        </w:rPr>
        <w:t>项目实施情况：2024年6月11日招投标，2024年6月20日开工</w:t>
      </w:r>
      <w:r>
        <w:rPr>
          <w:rFonts w:hint="eastAsia" w:ascii="Times New Roman" w:hAnsi="Times New Roman" w:eastAsia="方正仿宋_GBK" w:cs="Times New Roman"/>
          <w:b w:val="0"/>
          <w:bCs w:val="0"/>
          <w:kern w:val="2"/>
          <w:sz w:val="32"/>
          <w:szCs w:val="32"/>
          <w:highlight w:val="none"/>
          <w:lang w:val="en-US" w:eastAsia="zh-CN" w:bidi="ar-SA"/>
        </w:rPr>
        <w:t>，</w:t>
      </w:r>
      <w:r>
        <w:rPr>
          <w:rFonts w:hint="default" w:ascii="Times New Roman" w:hAnsi="Times New Roman" w:eastAsia="方正仿宋_GBK" w:cs="Times New Roman"/>
          <w:b w:val="0"/>
          <w:bCs w:val="0"/>
          <w:kern w:val="2"/>
          <w:sz w:val="32"/>
          <w:szCs w:val="32"/>
          <w:highlight w:val="none"/>
          <w:lang w:val="en-US" w:eastAsia="zh-CN" w:bidi="ar-SA"/>
        </w:rPr>
        <w:t>2024年12月24日</w:t>
      </w:r>
      <w:r>
        <w:rPr>
          <w:rFonts w:hint="eastAsia" w:ascii="Times New Roman" w:hAnsi="Times New Roman" w:eastAsia="方正仿宋_GBK" w:cs="Times New Roman"/>
          <w:b w:val="0"/>
          <w:bCs w:val="0"/>
          <w:kern w:val="2"/>
          <w:sz w:val="32"/>
          <w:szCs w:val="32"/>
          <w:highlight w:val="none"/>
          <w:lang w:val="en-US" w:eastAsia="zh-CN" w:bidi="ar-SA"/>
        </w:rPr>
        <w:t>竣工验收。</w:t>
      </w:r>
    </w:p>
    <w:p w14:paraId="7C79147F">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2FB3269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5CAC4C31">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220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220</w:t>
      </w:r>
      <w:r>
        <w:rPr>
          <w:rFonts w:hint="default" w:ascii="Times New Roman" w:hAnsi="Times New Roman" w:eastAsia="仿宋_GB2312" w:cs="Times New Roman"/>
          <w:sz w:val="32"/>
          <w:szCs w:val="32"/>
          <w:highlight w:val="none"/>
          <w:lang w:val="en-US" w:eastAsia="zh-CN"/>
        </w:rPr>
        <w:t>万元，该项目资金已全部落实到位，资金来源为自治区福彩资金。</w:t>
      </w:r>
    </w:p>
    <w:p w14:paraId="43CD149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1AF357CB">
      <w:pPr>
        <w:pStyle w:val="9"/>
        <w:numPr>
          <w:ilvl w:val="0"/>
          <w:numId w:val="0"/>
        </w:numPr>
        <w:spacing w:before="0" w:after="0" w:line="560" w:lineRule="exact"/>
        <w:ind w:firstLine="640" w:firstLineChars="200"/>
        <w:jc w:val="both"/>
        <w:rPr>
          <w:rFonts w:hint="default" w:ascii="Times New Roman" w:hAnsi="Times New Roman" w:eastAsia="仿宋_GB2312" w:cs="Times New Roman"/>
          <w:sz w:val="32"/>
          <w:szCs w:val="32"/>
          <w:highlight w:val="cyan"/>
          <w:lang w:val="en-US" w:eastAsia="zh-CN"/>
        </w:rPr>
      </w:pPr>
      <w:r>
        <w:rPr>
          <w:rFonts w:hint="default" w:ascii="Times New Roman" w:hAnsi="Times New Roman" w:eastAsia="仿宋_GB2312" w:cs="Times New Roman"/>
          <w:b w:val="0"/>
          <w:bCs w:val="0"/>
          <w:kern w:val="2"/>
          <w:sz w:val="32"/>
          <w:szCs w:val="32"/>
          <w:highlight w:val="none"/>
          <w:lang w:val="en-US" w:eastAsia="zh-CN" w:bidi="ar-SA"/>
        </w:rPr>
        <w:t>该项目年初预算数</w:t>
      </w:r>
      <w:r>
        <w:rPr>
          <w:rFonts w:hint="eastAsia" w:ascii="Times New Roman" w:hAnsi="Times New Roman" w:eastAsia="仿宋_GB2312" w:cs="Times New Roman"/>
          <w:b w:val="0"/>
          <w:bCs w:val="0"/>
          <w:kern w:val="2"/>
          <w:sz w:val="32"/>
          <w:szCs w:val="32"/>
          <w:highlight w:val="none"/>
          <w:lang w:val="en-US" w:eastAsia="zh-CN" w:bidi="ar-SA"/>
        </w:rPr>
        <w:t>220</w:t>
      </w:r>
      <w:r>
        <w:rPr>
          <w:rFonts w:hint="default" w:ascii="Times New Roman" w:hAnsi="Times New Roman" w:eastAsia="仿宋_GB2312" w:cs="Times New Roman"/>
          <w:b w:val="0"/>
          <w:bCs w:val="0"/>
          <w:kern w:val="2"/>
          <w:sz w:val="32"/>
          <w:szCs w:val="32"/>
          <w:highlight w:val="none"/>
          <w:lang w:val="en-US" w:eastAsia="zh-CN" w:bidi="ar-SA"/>
        </w:rPr>
        <w:t>万元，全年预算数</w:t>
      </w:r>
      <w:r>
        <w:rPr>
          <w:rFonts w:hint="eastAsia" w:ascii="Times New Roman" w:hAnsi="Times New Roman" w:eastAsia="仿宋_GB2312" w:cs="Times New Roman"/>
          <w:b w:val="0"/>
          <w:bCs w:val="0"/>
          <w:kern w:val="2"/>
          <w:sz w:val="32"/>
          <w:szCs w:val="32"/>
          <w:highlight w:val="none"/>
          <w:lang w:val="en-US" w:eastAsia="zh-CN" w:bidi="ar-SA"/>
        </w:rPr>
        <w:t>220</w:t>
      </w:r>
      <w:r>
        <w:rPr>
          <w:rFonts w:hint="default" w:ascii="Times New Roman" w:hAnsi="Times New Roman" w:eastAsia="仿宋_GB2312" w:cs="Times New Roman"/>
          <w:b w:val="0"/>
          <w:bCs w:val="0"/>
          <w:kern w:val="2"/>
          <w:sz w:val="32"/>
          <w:szCs w:val="32"/>
          <w:highlight w:val="none"/>
          <w:lang w:val="en-US" w:eastAsia="zh-CN" w:bidi="ar-SA"/>
        </w:rPr>
        <w:t>万元</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，全年执行数</w:t>
      </w:r>
      <w:r>
        <w:rPr>
          <w:rFonts w:hint="eastAsia" w:ascii="Times New Roman" w:hAnsi="Times New Roman" w:eastAsia="仿宋_GB2312" w:cs="Times New Roman"/>
          <w:b w:val="0"/>
          <w:bCs w:val="0"/>
          <w:kern w:val="2"/>
          <w:sz w:val="32"/>
          <w:szCs w:val="32"/>
          <w:highlight w:val="none"/>
          <w:lang w:val="en-US" w:eastAsia="zh-CN" w:bidi="ar-SA"/>
        </w:rPr>
        <w:t>174.71</w:t>
      </w:r>
      <w:r>
        <w:rPr>
          <w:rFonts w:hint="default" w:ascii="Times New Roman" w:hAnsi="Times New Roman" w:eastAsia="仿宋_GB2312" w:cs="Times New Roman"/>
          <w:b w:val="0"/>
          <w:bCs w:val="0"/>
          <w:kern w:val="2"/>
          <w:sz w:val="32"/>
          <w:szCs w:val="32"/>
          <w:highlight w:val="none"/>
          <w:lang w:val="en-US" w:eastAsia="zh-CN" w:bidi="ar-SA"/>
        </w:rPr>
        <w:t>万元，预算执行率为</w:t>
      </w:r>
      <w:r>
        <w:rPr>
          <w:rFonts w:hint="eastAsia" w:ascii="Times New Roman" w:hAnsi="Times New Roman" w:eastAsia="仿宋_GB2312" w:cs="Times New Roman"/>
          <w:b w:val="0"/>
          <w:bCs w:val="0"/>
          <w:kern w:val="2"/>
          <w:sz w:val="32"/>
          <w:szCs w:val="32"/>
          <w:highlight w:val="none"/>
          <w:lang w:val="en-US" w:eastAsia="zh-CN" w:bidi="ar-SA"/>
        </w:rPr>
        <w:t>79.41</w:t>
      </w:r>
      <w:r>
        <w:rPr>
          <w:rFonts w:hint="default" w:ascii="Times New Roman" w:hAnsi="Times New Roman" w:eastAsia="仿宋_GB2312" w:cs="Times New Roman"/>
          <w:b w:val="0"/>
          <w:bCs w:val="0"/>
          <w:kern w:val="2"/>
          <w:sz w:val="32"/>
          <w:szCs w:val="32"/>
          <w:highlight w:val="none"/>
          <w:lang w:val="en-US" w:eastAsia="zh-CN" w:bidi="ar-SA"/>
        </w:rPr>
        <w:t>%，主要用于：配备设施设备</w:t>
      </w:r>
      <w:r>
        <w:rPr>
          <w:rFonts w:hint="eastAsia" w:ascii="Times New Roman" w:hAnsi="Times New Roman" w:eastAsia="仿宋_GB2312" w:cs="Times New Roman"/>
          <w:b w:val="0"/>
          <w:bCs w:val="0"/>
          <w:kern w:val="2"/>
          <w:sz w:val="32"/>
          <w:szCs w:val="32"/>
          <w:highlight w:val="none"/>
          <w:lang w:val="en-US" w:eastAsia="zh-CN" w:bidi="ar-SA"/>
        </w:rPr>
        <w:t>101.6</w:t>
      </w:r>
      <w:r>
        <w:rPr>
          <w:rFonts w:hint="default" w:ascii="Times New Roman" w:hAnsi="Times New Roman" w:eastAsia="仿宋_GB2312" w:cs="Times New Roman"/>
          <w:b w:val="0"/>
          <w:bCs w:val="0"/>
          <w:kern w:val="2"/>
          <w:sz w:val="32"/>
          <w:szCs w:val="32"/>
          <w:highlight w:val="none"/>
          <w:lang w:val="en-US" w:eastAsia="zh-CN" w:bidi="ar-SA"/>
        </w:rPr>
        <w:t>万元，防水保温修复</w:t>
      </w:r>
      <w:r>
        <w:rPr>
          <w:rFonts w:hint="eastAsia" w:ascii="Times New Roman" w:hAnsi="Times New Roman" w:eastAsia="仿宋_GB2312" w:cs="Times New Roman"/>
          <w:b w:val="0"/>
          <w:bCs w:val="0"/>
          <w:kern w:val="2"/>
          <w:sz w:val="32"/>
          <w:szCs w:val="32"/>
          <w:highlight w:val="none"/>
          <w:lang w:val="en-US" w:eastAsia="zh-CN" w:bidi="ar-SA"/>
        </w:rPr>
        <w:t>39.6</w:t>
      </w:r>
      <w:r>
        <w:rPr>
          <w:rFonts w:hint="default" w:ascii="Times New Roman" w:hAnsi="Times New Roman" w:eastAsia="仿宋_GB2312" w:cs="Times New Roman"/>
          <w:b w:val="0"/>
          <w:bCs w:val="0"/>
          <w:kern w:val="2"/>
          <w:sz w:val="32"/>
          <w:szCs w:val="32"/>
          <w:highlight w:val="none"/>
          <w:lang w:val="en-US" w:eastAsia="zh-CN" w:bidi="ar-SA"/>
        </w:rPr>
        <w:t>万元，管网等附属</w:t>
      </w:r>
      <w:r>
        <w:rPr>
          <w:rFonts w:hint="default" w:ascii="Times New Roman" w:hAnsi="Times New Roman" w:eastAsia="方正仿宋_GBK" w:cs="Times New Roman"/>
          <w:b w:val="0"/>
          <w:bCs w:val="0"/>
          <w:kern w:val="2"/>
          <w:sz w:val="32"/>
          <w:szCs w:val="32"/>
          <w:highlight w:val="none"/>
          <w:lang w:val="en-US" w:eastAsia="zh-CN" w:bidi="ar-SA"/>
        </w:rPr>
        <w:t>设施设备</w:t>
      </w:r>
      <w:r>
        <w:rPr>
          <w:rFonts w:hint="eastAsia" w:ascii="Times New Roman" w:hAnsi="Times New Roman" w:eastAsia="方正仿宋_GBK" w:cs="Times New Roman"/>
          <w:b w:val="0"/>
          <w:bCs w:val="0"/>
          <w:kern w:val="2"/>
          <w:sz w:val="32"/>
          <w:szCs w:val="32"/>
          <w:highlight w:val="none"/>
          <w:lang w:val="en-US" w:eastAsia="zh-CN" w:bidi="ar-SA"/>
        </w:rPr>
        <w:t>78.8</w:t>
      </w:r>
      <w:r>
        <w:rPr>
          <w:rFonts w:hint="default" w:ascii="Times New Roman" w:hAnsi="Times New Roman" w:eastAsia="方正仿宋_GBK" w:cs="Times New Roman"/>
          <w:b w:val="0"/>
          <w:bCs w:val="0"/>
          <w:kern w:val="2"/>
          <w:sz w:val="32"/>
          <w:szCs w:val="32"/>
          <w:highlight w:val="none"/>
          <w:lang w:val="en-US" w:eastAsia="zh-CN" w:bidi="ar-SA"/>
        </w:rPr>
        <w:t>万元。</w:t>
      </w:r>
    </w:p>
    <w:p w14:paraId="6D3743E8">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245538CB">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05A8BD37">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为进一步提升特克斯县殡葬管理工作水平，建设2800平方米殡仪馆的附属设施，推动殡葬事业更好服务于保障和改善民生，达到维稳和构建和谐社会的目的，也是党和政府关心群众的充分体现。</w:t>
      </w:r>
    </w:p>
    <w:p w14:paraId="47C46400">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2.阶段性目标</w:t>
      </w:r>
    </w:p>
    <w:p w14:paraId="5D9C05D7">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2024年4月11日初步设计已完成，2024年6月11日招投标，2024年6月20日开工。2024年7月24日付：30万  </w:t>
      </w:r>
    </w:p>
    <w:p w14:paraId="4F52F04B">
      <w:pPr>
        <w:spacing w:line="560" w:lineRule="exac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2024年7月31日付：70万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2024年11月26日付：18.32万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2024年12月12日付1.95万监理费</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2024年12月24日完成验收</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2024年12月25日付：39.44万元</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2025年1月26日付设计费15万。</w:t>
      </w:r>
    </w:p>
    <w:p w14:paraId="049AB999">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69AE804">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46304DB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5A8D017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5FD564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14:paraId="5F34D93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531C91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0B7BE616">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32D1DA4">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167599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706041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通过对项目预算执行情况及各项绩效目标达成程度的系统性分析，全面、客观地评估项目在预定周期内的实施效果，包括经济效益、社会效益以及可持续性等多维度指标，为项目后续的改进与优化提供科学依据。</w:t>
      </w:r>
    </w:p>
    <w:p w14:paraId="1FB290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6338A9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636591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75C75A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2B1586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486484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6114AC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1D4550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2E191F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185FB24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3E9760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本项目预算绩效评价报告的评价对象是特克斯县第一殡仪馆附属设施改造项目及其预算执行情况。该项目由</w:t>
      </w:r>
      <w:r>
        <w:rPr>
          <w:rFonts w:hint="eastAsia" w:ascii="Times New Roman" w:hAnsi="Times New Roman" w:eastAsia="仿宋_GB2312" w:cs="Times New Roman"/>
          <w:sz w:val="32"/>
          <w:szCs w:val="32"/>
          <w:highlight w:val="none"/>
          <w:lang w:eastAsia="zh-CN"/>
        </w:rPr>
        <w:t>特克斯县民政局</w:t>
      </w:r>
      <w:r>
        <w:rPr>
          <w:rFonts w:hint="default" w:ascii="Times New Roman" w:hAnsi="Times New Roman" w:eastAsia="仿宋_GB2312" w:cs="Times New Roman"/>
          <w:sz w:val="32"/>
          <w:szCs w:val="32"/>
          <w:highlight w:val="none"/>
        </w:rPr>
        <w:t>负责实施，</w:t>
      </w:r>
      <w:r>
        <w:rPr>
          <w:rFonts w:hint="default" w:ascii="Times New Roman" w:hAnsi="Times New Roman" w:eastAsia="仿宋_GB2312" w:cs="Times New Roman"/>
          <w:sz w:val="32"/>
          <w:szCs w:val="32"/>
          <w:highlight w:val="none"/>
          <w:lang w:val="en-US" w:eastAsia="zh-CN"/>
        </w:rPr>
        <w:t>旨在殡仪馆的附属设施，推动殡葬事业更好服务于保障和改善民生，达到维稳和构建和谐社会的目的。项目预算涵盖从</w:t>
      </w:r>
      <w:r>
        <w:rPr>
          <w:rFonts w:hint="eastAsia" w:ascii="Times New Roman" w:hAnsi="Times New Roman" w:eastAsia="仿宋_GB2312" w:cs="Times New Roman"/>
          <w:sz w:val="32"/>
          <w:szCs w:val="32"/>
          <w:highlight w:val="none"/>
          <w:lang w:val="en-US" w:eastAsia="zh-CN"/>
        </w:rPr>
        <w:t>2024年6月13日</w:t>
      </w:r>
      <w:r>
        <w:rPr>
          <w:rFonts w:hint="default" w:ascii="Times New Roman" w:hAnsi="Times New Roman" w:eastAsia="仿宋_GB2312" w:cs="Times New Roman"/>
          <w:sz w:val="32"/>
          <w:szCs w:val="32"/>
          <w:highlight w:val="none"/>
          <w:lang w:val="en-US" w:eastAsia="zh-CN"/>
        </w:rPr>
        <w:t>至</w:t>
      </w:r>
      <w:r>
        <w:rPr>
          <w:rFonts w:hint="eastAsia" w:ascii="Times New Roman" w:hAnsi="Times New Roman" w:eastAsia="仿宋_GB2312" w:cs="Times New Roman"/>
          <w:sz w:val="32"/>
          <w:szCs w:val="32"/>
          <w:highlight w:val="none"/>
          <w:lang w:val="en-US" w:eastAsia="zh-CN"/>
        </w:rPr>
        <w:t>2024年12月24日</w:t>
      </w:r>
      <w:r>
        <w:rPr>
          <w:rFonts w:hint="default" w:ascii="Times New Roman" w:hAnsi="Times New Roman" w:eastAsia="仿宋_GB2312" w:cs="Times New Roman"/>
          <w:sz w:val="32"/>
          <w:szCs w:val="32"/>
          <w:highlight w:val="none"/>
          <w:lang w:val="en-US" w:eastAsia="zh-CN"/>
        </w:rPr>
        <w:t>的全部资金投入与支出，涉及资金总额为</w:t>
      </w:r>
      <w:r>
        <w:rPr>
          <w:rFonts w:hint="eastAsia" w:ascii="Times New Roman" w:hAnsi="Times New Roman" w:eastAsia="仿宋_GB2312" w:cs="Times New Roman"/>
          <w:sz w:val="32"/>
          <w:szCs w:val="32"/>
          <w:highlight w:val="none"/>
          <w:lang w:val="en-US" w:eastAsia="zh-CN"/>
        </w:rPr>
        <w:t>220</w:t>
      </w:r>
      <w:r>
        <w:rPr>
          <w:rFonts w:hint="default" w:ascii="Times New Roman" w:hAnsi="Times New Roman" w:eastAsia="仿宋_GB2312" w:cs="Times New Roman"/>
          <w:sz w:val="32"/>
          <w:szCs w:val="32"/>
          <w:highlight w:val="none"/>
          <w:lang w:val="en-US" w:eastAsia="zh-CN"/>
        </w:rPr>
        <w:t>万元。</w:t>
      </w:r>
    </w:p>
    <w:p w14:paraId="6BC4466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49E2691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7B8EB7E7">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643FE157">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0558EE3A">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5FA5ECA7">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影响：考察项目对社会方面的综合影响。有</w:t>
      </w:r>
      <w:r>
        <w:rPr>
          <w:rFonts w:hint="eastAsia" w:ascii="Times New Roman" w:hAnsi="Times New Roman" w:eastAsia="仿宋_GB2312" w:cs="Times New Roman"/>
          <w:b w:val="0"/>
          <w:bCs w:val="0"/>
          <w:highlight w:val="none"/>
          <w:lang w:val="en-US" w:eastAsia="zh-CN"/>
        </w:rPr>
        <w:t>效提升困难群众生活水平。</w:t>
      </w:r>
    </w:p>
    <w:p w14:paraId="157ADF06">
      <w:pPr>
        <w:spacing w:line="560" w:lineRule="exact"/>
        <w:ind w:firstLine="643" w:firstLineChars="200"/>
        <w:rPr>
          <w:rFonts w:hint="default" w:ascii="Times New Roman" w:hAnsi="Times New Roman" w:eastAsia="楷体_GB2312" w:cs="Times New Roman"/>
          <w:b/>
          <w:bCs/>
          <w:sz w:val="32"/>
          <w:szCs w:val="32"/>
        </w:rPr>
      </w:pPr>
    </w:p>
    <w:p w14:paraId="00AD1835">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3355F29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1.绩效评价原则</w:t>
      </w:r>
    </w:p>
    <w:p w14:paraId="10902393">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本次项目绩效评价遵循以下基本原则：</w:t>
      </w:r>
    </w:p>
    <w:p w14:paraId="556EE6E0">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14:paraId="26017311">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5B65FC9C">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14:paraId="3E91DF78">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14:paraId="7549B17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14:paraId="7DE3D94A">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14:paraId="4845F677">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14:paraId="3EB436E9">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39BA528E">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14:paraId="5D0BA35A">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w:t>
      </w:r>
      <w:r>
        <w:rPr>
          <w:rFonts w:hint="eastAsia" w:ascii="Times New Roman" w:hAnsi="Times New Roman" w:eastAsia="仿宋_GB2312" w:cs="Times New Roman"/>
          <w:b w:val="0"/>
          <w:bCs w:val="0"/>
          <w:kern w:val="2"/>
          <w:sz w:val="32"/>
          <w:szCs w:val="32"/>
          <w:highlight w:val="none"/>
          <w:lang w:val="en-US" w:eastAsia="zh-CN" w:bidi="ar-SA"/>
        </w:rPr>
        <w:t>20</w:t>
      </w:r>
      <w:r>
        <w:rPr>
          <w:rFonts w:hint="default" w:ascii="Times New Roman" w:hAnsi="Times New Roman" w:eastAsia="仿宋_GB2312" w:cs="Times New Roman"/>
          <w:b w:val="0"/>
          <w:bCs w:val="0"/>
          <w:kern w:val="2"/>
          <w:sz w:val="32"/>
          <w:szCs w:val="32"/>
          <w:highlight w:val="none"/>
          <w:lang w:val="en-US" w:eastAsia="zh-CN" w:bidi="ar-SA"/>
        </w:rPr>
        <w:t>分，项目产出权重为40分，项目效益权重为20分。</w:t>
      </w:r>
    </w:p>
    <w:p w14:paraId="5CAC85AB">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14:paraId="43F1DC45">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14:paraId="04EA97E1">
      <w:pPr>
        <w:pStyle w:val="9"/>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14:paraId="54E0A320">
      <w:pPr>
        <w:pStyle w:val="9"/>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r>
        <w:rPr>
          <w:rFonts w:hint="eastAsia" w:ascii="Times New Roman" w:hAnsi="Times New Roman" w:eastAsia="仿宋_GB2312" w:cs="Times New Roman"/>
          <w:b w:val="0"/>
          <w:bCs w:val="0"/>
          <w:kern w:val="2"/>
          <w:sz w:val="32"/>
          <w:szCs w:val="32"/>
          <w:highlight w:val="none"/>
          <w:lang w:val="en-US" w:eastAsia="zh-CN" w:bidi="ar-SA"/>
        </w:rPr>
        <w:t>。</w:t>
      </w:r>
    </w:p>
    <w:p w14:paraId="6555F05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14:paraId="29E62F94">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14:paraId="7D45122E">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14:paraId="7FBF3C30">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（一）成本效益分析法。是指将投入与产出、效益进行关联性分析的方法</w:t>
      </w:r>
      <w:r>
        <w:rPr>
          <w:rFonts w:hint="eastAsia" w:ascii="Times New Roman" w:hAnsi="Times New Roman" w:eastAsia="仿宋_GB2312" w:cs="Times New Roman"/>
          <w:b w:val="0"/>
          <w:bCs w:val="0"/>
          <w:kern w:val="2"/>
          <w:sz w:val="32"/>
          <w:szCs w:val="32"/>
          <w:highlight w:val="none"/>
          <w:lang w:val="en-US" w:eastAsia="zh-CN" w:bidi="ar-SA"/>
        </w:rPr>
        <w:t>。原因是：</w:t>
      </w:r>
      <w:r>
        <w:rPr>
          <w:rFonts w:hint="default" w:ascii="Times New Roman" w:hAnsi="Times New Roman" w:eastAsia="仿宋_GB2312" w:cs="Times New Roman"/>
          <w:b w:val="0"/>
          <w:bCs w:val="0"/>
          <w:kern w:val="2"/>
          <w:sz w:val="32"/>
          <w:szCs w:val="32"/>
          <w:highlight w:val="none"/>
          <w:lang w:val="en-US" w:eastAsia="zh-CN" w:bidi="ar-SA"/>
        </w:rPr>
        <w:t>流程标准化，易于落地实施</w:t>
      </w:r>
      <w:r>
        <w:rPr>
          <w:rFonts w:hint="eastAsia" w:ascii="Times New Roman" w:hAnsi="Times New Roman" w:eastAsia="仿宋_GB2312" w:cs="Times New Roman"/>
          <w:b w:val="0"/>
          <w:bCs w:val="0"/>
          <w:kern w:val="2"/>
          <w:sz w:val="32"/>
          <w:szCs w:val="32"/>
          <w:highlight w:val="none"/>
          <w:lang w:val="en-US" w:eastAsia="zh-CN" w:bidi="ar-SA"/>
        </w:rPr>
        <w:t>，能</w:t>
      </w:r>
      <w:r>
        <w:rPr>
          <w:rFonts w:hint="default" w:ascii="Times New Roman" w:hAnsi="Times New Roman" w:eastAsia="仿宋_GB2312" w:cs="Times New Roman"/>
          <w:b w:val="0"/>
          <w:bCs w:val="0"/>
          <w:kern w:val="2"/>
          <w:sz w:val="32"/>
          <w:szCs w:val="32"/>
          <w:highlight w:val="none"/>
          <w:lang w:val="en-US" w:eastAsia="zh-CN" w:bidi="ar-SA"/>
        </w:rPr>
        <w:t>结果直观</w:t>
      </w:r>
      <w:r>
        <w:rPr>
          <w:rFonts w:hint="eastAsia" w:ascii="Times New Roman" w:hAnsi="Times New Roman" w:eastAsia="仿宋_GB2312" w:cs="Times New Roman"/>
          <w:b w:val="0"/>
          <w:bCs w:val="0"/>
          <w:kern w:val="2"/>
          <w:sz w:val="32"/>
          <w:szCs w:val="32"/>
          <w:highlight w:val="none"/>
          <w:lang w:val="en-US" w:eastAsia="zh-CN" w:bidi="ar-SA"/>
        </w:rPr>
        <w:t>的便于第一殡仪馆建设项目的绩效评价。</w:t>
      </w:r>
    </w:p>
    <w:p w14:paraId="54781DF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14:paraId="25D6CCA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hint="default" w:ascii="Times New Roman" w:hAnsi="Times New Roman" w:eastAsia="仿宋_GB2312" w:cs="Times New Roman"/>
          <w:b w:val="0"/>
          <w:bCs w:val="0"/>
          <w:kern w:val="2"/>
          <w:sz w:val="32"/>
          <w:szCs w:val="32"/>
          <w:highlight w:val="none"/>
          <w:lang w:val="en-US" w:eastAsia="zh-CN" w:bidi="ar-SA"/>
        </w:rPr>
        <w:t>标准。</w:t>
      </w:r>
    </w:p>
    <w:p w14:paraId="0413983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（1）计划标准。指以预先制定的目标、计划、预算、定额等作为评价标准。</w:t>
      </w:r>
    </w:p>
    <w:p w14:paraId="1C2E7AF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（2）行业标准。指参照国家公布的行业指标数据制定的评价标准。</w:t>
      </w:r>
    </w:p>
    <w:p w14:paraId="79831A3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（3）历史标准。指参照历史数据制定的评价标准，为体现绩效改进的原则，在可实现的条件下应当确定相对较高的评价标准。</w:t>
      </w:r>
    </w:p>
    <w:p w14:paraId="49EBAA0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（4）财政部门和预算部门确认或认可的其他标准。</w:t>
      </w:r>
    </w:p>
    <w:p w14:paraId="08155B1D">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32FDB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316117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4B699E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5E0158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47567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DB6D0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005A58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2DC8C0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3F3D07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309EDF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354552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79BCDA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132ACAB">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52A5ACC0">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351EC22D">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特克斯县第一殡仪馆附属设施改造项目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eastAsia="zh-CN"/>
        </w:rPr>
        <w:t>配备设施设备</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防水保温修复</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sz w:val="32"/>
          <w:szCs w:val="32"/>
          <w:highlight w:val="none"/>
          <w:lang w:eastAsia="zh-CN"/>
        </w:rPr>
        <w:t>管网等设施设备的修复</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在冬季可以正常进行供暖</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吊唁厅各种功能齐全</w:t>
      </w:r>
      <w:r>
        <w:rPr>
          <w:rFonts w:hint="default" w:ascii="Times New Roman" w:hAnsi="Times New Roman" w:eastAsia="仿宋_GB2312" w:cs="Times New Roman"/>
          <w:sz w:val="32"/>
          <w:szCs w:val="32"/>
          <w:highlight w:val="none"/>
        </w:rPr>
        <w:t>等。</w:t>
      </w:r>
    </w:p>
    <w:p w14:paraId="7E2E708C">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特克斯县民政局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348A368A">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w:t>
      </w:r>
      <w:r>
        <w:rPr>
          <w:rFonts w:hint="eastAsia" w:eastAsia="仿宋_GB2312" w:cs="Times New Roman"/>
          <w:sz w:val="32"/>
          <w:szCs w:val="32"/>
          <w:highlight w:val="none"/>
          <w:lang w:eastAsia="zh-CN"/>
        </w:rPr>
        <w:t>配备设施设备</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防水保温修复</w:t>
      </w:r>
      <w:r>
        <w:rPr>
          <w:rFonts w:hint="default" w:ascii="Times New Roman" w:hAnsi="Times New Roman" w:eastAsia="仿宋_GB2312" w:cs="Times New Roman"/>
          <w:sz w:val="32"/>
          <w:szCs w:val="32"/>
          <w:highlight w:val="none"/>
        </w:rPr>
        <w:t>等方面的提升，为项目的利益相关者带来了实实在在的利益。</w:t>
      </w:r>
    </w:p>
    <w:p w14:paraId="7801A22A">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综上所述，特克斯县第一殡仪馆附属设施改造项目在绩效评价中表现出色，达到了项目的预期目标，并在多个方面取得了显著的成效。</w:t>
      </w:r>
    </w:p>
    <w:p w14:paraId="4D1E70AA">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2F854AB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96</w:t>
      </w:r>
      <w:r>
        <w:rPr>
          <w:rFonts w:hint="default" w:ascii="Times New Roman" w:hAnsi="Times New Roman" w:eastAsia="仿宋_GB2312" w:cs="Times New Roman"/>
          <w:b w:val="0"/>
          <w:bCs w:val="0"/>
          <w:highlight w:val="none"/>
        </w:rPr>
        <w:t>分，属于“优（良/中/差）”。其中，项目决策类指标权重为20分，得分为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38</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3CAF8C4D">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3B69DFE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C3C5BCB">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EF5E44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70F959B">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088DF67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7058B49">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F2B350E">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0C4071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5A2985D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0C0209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7C79749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430557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18</w:t>
            </w:r>
          </w:p>
        </w:tc>
      </w:tr>
      <w:tr w14:paraId="27168C8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F315FC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F00119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7B11E5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38</w:t>
            </w:r>
          </w:p>
        </w:tc>
      </w:tr>
      <w:tr w14:paraId="517BBBC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7735A49">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F108F8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833660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59573B2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DEAEE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3824437">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A3A1F25">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96</w:t>
            </w:r>
          </w:p>
        </w:tc>
      </w:tr>
    </w:tbl>
    <w:p w14:paraId="3472FC3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0B63B0BD">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1893C061">
      <w:pPr>
        <w:shd w:val="clear" w:color="auto" w:fill="auto"/>
        <w:spacing w:line="600" w:lineRule="exact"/>
        <w:ind w:firstLine="64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w:t>
      </w:r>
      <w:r>
        <w:rPr>
          <w:rFonts w:hint="default" w:ascii="Times New Roman" w:hAnsi="Times New Roman" w:eastAsia="仿宋_GB2312" w:cs="Times New Roman"/>
          <w:sz w:val="30"/>
          <w:szCs w:val="30"/>
          <w:highlight w:val="none"/>
          <w:lang w:val="en-US" w:eastAsia="zh-CN"/>
        </w:rPr>
        <w:t>金投入三方面的内容，由</w:t>
      </w:r>
      <w:r>
        <w:rPr>
          <w:rFonts w:hint="eastAsia" w:eastAsia="仿宋_GB2312" w:cs="Times New Roman"/>
          <w:sz w:val="30"/>
          <w:szCs w:val="30"/>
          <w:highlight w:val="none"/>
          <w:lang w:val="en-US" w:eastAsia="zh-CN"/>
        </w:rPr>
        <w:t>6</w:t>
      </w:r>
      <w:r>
        <w:rPr>
          <w:rFonts w:hint="default" w:ascii="Times New Roman" w:hAnsi="Times New Roman" w:eastAsia="仿宋_GB2312" w:cs="Times New Roman"/>
          <w:sz w:val="30"/>
          <w:szCs w:val="30"/>
          <w:highlight w:val="none"/>
          <w:lang w:val="en-US" w:eastAsia="zh-CN"/>
        </w:rPr>
        <w:t>个三级指标构成，权重分值为20分，实际得分</w:t>
      </w:r>
      <w:r>
        <w:rPr>
          <w:rFonts w:hint="eastAsia" w:eastAsia="仿宋_GB2312" w:cs="Times New Roman"/>
          <w:sz w:val="30"/>
          <w:szCs w:val="30"/>
          <w:highlight w:val="none"/>
          <w:lang w:val="en-US" w:eastAsia="zh-CN"/>
        </w:rPr>
        <w:t>20</w:t>
      </w:r>
      <w:r>
        <w:rPr>
          <w:rFonts w:hint="default" w:ascii="Times New Roman" w:hAnsi="Times New Roman" w:eastAsia="仿宋_GB2312" w:cs="Times New Roman"/>
          <w:sz w:val="30"/>
          <w:szCs w:val="30"/>
          <w:highlight w:val="none"/>
          <w:lang w:val="en-US" w:eastAsia="zh-CN"/>
        </w:rPr>
        <w:t>分，得分率为</w:t>
      </w:r>
      <w:r>
        <w:rPr>
          <w:rFonts w:hint="eastAsia" w:eastAsia="仿宋_GB2312" w:cs="Times New Roman"/>
          <w:sz w:val="30"/>
          <w:szCs w:val="30"/>
          <w:highlight w:val="none"/>
          <w:lang w:val="en-US" w:eastAsia="zh-CN"/>
        </w:rPr>
        <w:t>100</w:t>
      </w:r>
      <w:r>
        <w:rPr>
          <w:rFonts w:hint="default" w:ascii="Times New Roman" w:hAnsi="Times New Roman" w:eastAsia="仿宋_GB2312" w:cs="Times New Roman"/>
          <w:sz w:val="30"/>
          <w:szCs w:val="30"/>
          <w:highlight w:val="none"/>
          <w:lang w:val="en-US" w:eastAsia="zh-CN"/>
        </w:rPr>
        <w:t>%。</w:t>
      </w:r>
    </w:p>
    <w:p w14:paraId="1F85283D">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569A5D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7C845F7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E6E59B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769AD0B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4D0873D">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FF72BC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2FC5E55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B3454F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750D1F3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719879F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006C3F1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4DFE2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2E836C6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159C6A6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7FD426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5BC40E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5D5597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29DB425A">
      <w:pPr>
        <w:pStyle w:val="9"/>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76D134A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w:t>
      </w:r>
    </w:p>
    <w:p w14:paraId="5082A10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23B8B36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1D15411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220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23D4888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7EE7E7D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174.71</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79.41</w:t>
      </w:r>
      <w:r>
        <w:rPr>
          <w:rFonts w:hint="default" w:ascii="Times New Roman" w:hAnsi="Times New Roman" w:eastAsia="仿宋_GB2312" w:cs="Times New Roman"/>
          <w:sz w:val="32"/>
          <w:szCs w:val="32"/>
          <w:highlight w:val="none"/>
          <w:lang w:val="en-US" w:eastAsia="zh-CN"/>
        </w:rPr>
        <w:t>%。</w:t>
      </w:r>
    </w:p>
    <w:p w14:paraId="43E83BA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00FAD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2219FF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41B58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CE79BDE">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33E57D5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2257EF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04C7C8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135ECB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9FE845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3847F60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0C0B13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717591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394CF9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696A7220">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3E9529D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%。具体产</w:t>
      </w:r>
      <w:r>
        <w:rPr>
          <w:rFonts w:hint="default" w:ascii="Times New Roman" w:hAnsi="Times New Roman" w:eastAsia="仿宋_GB2312" w:cs="Times New Roman"/>
          <w:sz w:val="32"/>
          <w:szCs w:val="32"/>
          <w:lang w:val="en-US" w:eastAsia="zh-CN"/>
        </w:rPr>
        <w:t>出指标完成情况如下：</w:t>
      </w:r>
    </w:p>
    <w:p w14:paraId="4D7E786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FA0E1E6">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建设面积</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2800平方米</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2800平方米</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7DD74BD">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2：支持社会服务兜底设施项目数量，</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07F6EE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7FC8D5D7">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建设项目验收合格率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&gt;＝95％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8F4AE59">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项目设计变更率</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&lt;=10%，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886907E">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项目</w:t>
      </w:r>
      <w:r>
        <w:rPr>
          <w:rFonts w:hint="eastAsia" w:eastAsia="仿宋_GB2312" w:cs="Times New Roman"/>
          <w:sz w:val="32"/>
          <w:szCs w:val="32"/>
          <w:highlight w:val="none"/>
          <w:lang w:eastAsia="zh-CN"/>
        </w:rPr>
        <w:t>资金支付率</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=10</w:t>
      </w:r>
      <w:r>
        <w:rPr>
          <w:rFonts w:hint="eastAsia" w:eastAsia="仿宋_GB2312" w:cs="Times New Roman"/>
          <w:sz w:val="32"/>
          <w:szCs w:val="32"/>
          <w:highlight w:val="none"/>
          <w:lang w:val="en-US" w:eastAsia="zh-CN"/>
        </w:rPr>
        <w:t>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79.41％</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79.41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，偏差原因：项目支付已达到工程量水平，等待结算定案后支付剩余项目款。</w:t>
      </w:r>
    </w:p>
    <w:p w14:paraId="182EFB3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718928A0">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项目开工率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88106B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2D3A9444">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项目支出金额</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&lt;=220万元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174.1万元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79.41%，偏差原因：项目支付已达到工程量水平，等待结算定案后支付剩余项目款。</w:t>
      </w:r>
    </w:p>
    <w:p w14:paraId="6DC7FE24">
      <w:pPr>
        <w:pStyle w:val="10"/>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117E5A6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lang w:val="en-US" w:eastAsia="zh-CN"/>
        </w:rPr>
        <w:t>个三级指标构成，权重分为20分，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具体效益指标及满意度指标完成情况如下：</w:t>
      </w:r>
    </w:p>
    <w:p w14:paraId="57EFC7C6">
      <w:pPr>
        <w:shd w:val="clear" w:color="auto" w:fill="auto"/>
        <w:spacing w:line="600" w:lineRule="exact"/>
        <w:ind w:firstLine="640" w:firstLineChars="200"/>
        <w:outlineLvl w:val="0"/>
        <w:rPr>
          <w:rFonts w:hint="eastAsia" w:eastAsia="仿宋_GB2312" w:cs="Times New Roman"/>
          <w:sz w:val="32"/>
          <w:szCs w:val="32"/>
          <w:highlight w:val="cyan"/>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07D8F6A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CA137D5">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指标1：困难群众生活水平提升情况，指标值：有效提升，实际完成值：有效提升，指标完成率100%。</w:t>
      </w:r>
    </w:p>
    <w:p w14:paraId="30719714">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指标2:项目使用年限，指标值：&gt;=10年，实际完成值：10年，指标完成率：100%。</w:t>
      </w:r>
    </w:p>
    <w:p w14:paraId="122A302A">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w:t>
      </w:r>
    </w:p>
    <w:p w14:paraId="592C5796">
      <w:pPr>
        <w:numPr>
          <w:ilvl w:val="0"/>
          <w:numId w:val="0"/>
        </w:numPr>
        <w:shd w:val="clear" w:color="auto" w:fill="auto"/>
        <w:spacing w:line="600" w:lineRule="exact"/>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&gt;=95%，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p>
    <w:p w14:paraId="6F3DA1B8">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49912E51">
      <w:pPr>
        <w:pStyle w:val="20"/>
        <w:spacing w:line="560" w:lineRule="exact"/>
        <w:ind w:firstLine="64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lang w:val="en-US" w:eastAsia="zh-CN"/>
        </w:rPr>
        <w:t>特克斯县第一殡仪馆附属设施改造项目</w:t>
      </w:r>
      <w:r>
        <w:rPr>
          <w:rFonts w:hint="default" w:ascii="Times New Roman" w:hAnsi="Times New Roman" w:eastAsia="方正仿宋_GBK" w:cs="Times New Roman"/>
          <w:sz w:val="32"/>
          <w:szCs w:val="32"/>
          <w:highlight w:val="none"/>
        </w:rPr>
        <w:t>项目年初预算</w:t>
      </w:r>
      <w:r>
        <w:rPr>
          <w:rFonts w:hint="eastAsia" w:eastAsia="方正仿宋_GBK" w:cs="Times New Roman"/>
          <w:sz w:val="32"/>
          <w:szCs w:val="32"/>
          <w:highlight w:val="none"/>
          <w:lang w:val="en-US" w:eastAsia="zh-CN"/>
        </w:rPr>
        <w:t>220</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220</w:t>
      </w:r>
      <w:r>
        <w:rPr>
          <w:rFonts w:hint="default" w:ascii="Times New Roman" w:hAnsi="Times New Roman" w:eastAsia="方正仿宋_GBK" w:cs="Times New Roman"/>
          <w:sz w:val="32"/>
          <w:szCs w:val="32"/>
          <w:highlight w:val="none"/>
        </w:rPr>
        <w:t>万元，实际支出</w:t>
      </w:r>
      <w:r>
        <w:rPr>
          <w:rFonts w:hint="default" w:ascii="Times New Roman" w:hAnsi="Times New Roman" w:eastAsia="方正仿宋_GBK" w:cs="Times New Roman"/>
          <w:sz w:val="32"/>
          <w:szCs w:val="32"/>
          <w:highlight w:val="none"/>
          <w:lang w:val="en-US" w:eastAsia="zh-CN"/>
        </w:rPr>
        <w:t>174.71</w:t>
      </w:r>
      <w:r>
        <w:rPr>
          <w:rFonts w:hint="default" w:ascii="Times New Roman" w:hAnsi="Times New Roman" w:eastAsia="方正仿宋_GBK" w:cs="Times New Roman"/>
          <w:sz w:val="32"/>
          <w:szCs w:val="32"/>
          <w:highlight w:val="none"/>
        </w:rPr>
        <w:t>万元，预算执行率为</w:t>
      </w:r>
      <w:r>
        <w:rPr>
          <w:rFonts w:hint="default" w:ascii="Times New Roman" w:hAnsi="Times New Roman" w:eastAsia="方正仿宋_GBK" w:cs="Times New Roman"/>
          <w:sz w:val="32"/>
          <w:szCs w:val="32"/>
          <w:highlight w:val="none"/>
          <w:lang w:val="en-US" w:eastAsia="zh-CN"/>
        </w:rPr>
        <w:t>79.41%</w:t>
      </w:r>
      <w:r>
        <w:rPr>
          <w:rFonts w:hint="default" w:ascii="Times New Roman" w:hAnsi="Times New Roman" w:eastAsia="方正仿宋_GBK" w:cs="Times New Roman"/>
          <w:sz w:val="32"/>
          <w:szCs w:val="32"/>
          <w:highlight w:val="none"/>
        </w:rPr>
        <w:t>，项目绩效指标总体完成率为</w:t>
      </w:r>
      <w:r>
        <w:rPr>
          <w:rFonts w:hint="eastAsia" w:eastAsia="方正仿宋_GBK" w:cs="Times New Roman"/>
          <w:sz w:val="32"/>
          <w:szCs w:val="32"/>
          <w:highlight w:val="none"/>
          <w:lang w:val="en-US" w:eastAsia="zh-CN"/>
        </w:rPr>
        <w:t>97.94</w:t>
      </w:r>
      <w:r>
        <w:rPr>
          <w:rFonts w:hint="default" w:ascii="Times New Roman" w:hAnsi="Times New Roman" w:eastAsia="方正仿宋_GBK" w:cs="Times New Roman"/>
          <w:sz w:val="32"/>
          <w:szCs w:val="32"/>
          <w:highlight w:val="none"/>
        </w:rPr>
        <w:t>%，总体偏差率为</w:t>
      </w:r>
      <w:r>
        <w:rPr>
          <w:rFonts w:hint="eastAsia" w:eastAsia="方正仿宋_GBK" w:cs="Times New Roman"/>
          <w:sz w:val="32"/>
          <w:szCs w:val="32"/>
          <w:highlight w:val="none"/>
          <w:lang w:val="en-US" w:eastAsia="zh-CN"/>
        </w:rPr>
        <w:t>18.53</w:t>
      </w:r>
      <w:r>
        <w:rPr>
          <w:rFonts w:hint="default" w:ascii="Times New Roman" w:hAnsi="Times New Roman" w:eastAsia="方正仿宋_GBK" w:cs="Times New Roman"/>
          <w:sz w:val="32"/>
          <w:szCs w:val="32"/>
          <w:highlight w:val="none"/>
        </w:rPr>
        <w:t>%</w:t>
      </w:r>
      <w:r>
        <w:rPr>
          <w:rFonts w:hint="eastAsia" w:ascii="Times New Roman" w:hAnsi="Times New Roman" w:cs="Times New Roman"/>
          <w:highlight w:val="none"/>
          <w:lang w:eastAsia="zh-CN"/>
        </w:rPr>
        <w:t>，</w:t>
      </w:r>
      <w:r>
        <w:rPr>
          <w:rFonts w:hint="default" w:ascii="Times New Roman" w:hAnsi="Times New Roman" w:eastAsia="方正仿宋_GBK" w:cs="Times New Roman"/>
          <w:sz w:val="32"/>
          <w:szCs w:val="32"/>
          <w:highlight w:val="none"/>
        </w:rPr>
        <w:t>偏差原因</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lang w:val="en-US" w:eastAsia="zh-CN"/>
        </w:rPr>
        <w:t>项目支付已达到工程量水平，等待结算定案后支付剩余项目款。</w:t>
      </w:r>
      <w:r>
        <w:rPr>
          <w:rFonts w:hint="default" w:ascii="Times New Roman" w:hAnsi="Times New Roman" w:eastAsia="方正仿宋_GBK" w:cs="Times New Roman"/>
          <w:sz w:val="32"/>
          <w:szCs w:val="32"/>
          <w:highlight w:val="none"/>
        </w:rPr>
        <w:t>，改进措施</w:t>
      </w:r>
      <w:r>
        <w:rPr>
          <w:rFonts w:hint="eastAsia" w:eastAsia="方正仿宋_GBK" w:cs="Times New Roman"/>
          <w:sz w:val="32"/>
          <w:szCs w:val="32"/>
          <w:highlight w:val="none"/>
          <w:lang w:eastAsia="zh-CN"/>
        </w:rPr>
        <w:t>结算定案结束后尽快支付剩余项目资金</w:t>
      </w:r>
      <w:r>
        <w:rPr>
          <w:rFonts w:hint="default" w:ascii="Times New Roman" w:hAnsi="Times New Roman" w:eastAsia="方正仿宋_GBK" w:cs="Times New Roman"/>
          <w:sz w:val="32"/>
          <w:szCs w:val="32"/>
          <w:highlight w:val="none"/>
        </w:rPr>
        <w:t>。</w:t>
      </w:r>
    </w:p>
    <w:p w14:paraId="39EB834A">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eastAsia"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306AB71C">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F4AA46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6AFB739">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7FCEEB5">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224F30A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AAB5C1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28A47FB1">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0446C59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7383197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697EE1C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44E795C">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4A613BA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F2EE4AE">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bookmarkStart w:id="1" w:name="_GoBack"/>
      <w:bookmarkEnd w:id="1"/>
    </w:p>
    <w:p w14:paraId="5631753E">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276581BA">
      <w:pPr>
        <w:rPr>
          <w:rFonts w:hint="default" w:ascii="Times New Roman" w:hAnsi="Times New Roman" w:cs="Times New Roman"/>
        </w:rPr>
      </w:pPr>
    </w:p>
    <w:p w14:paraId="08FC8BD1">
      <w:pPr>
        <w:rPr>
          <w:rFonts w:hint="default" w:ascii="Times New Roman" w:hAnsi="Times New Roman" w:cs="Times New Roman"/>
        </w:rPr>
      </w:pPr>
    </w:p>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9CAA3B-3134-42C3-86E1-533741D8859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508BAB52-23D1-4D1C-A0A4-A54A8544571A}"/>
  </w:font>
  <w:font w:name="华文中宋">
    <w:panose1 w:val="02010600040101010101"/>
    <w:charset w:val="86"/>
    <w:family w:val="auto"/>
    <w:pitch w:val="default"/>
    <w:sig w:usb0="00000287" w:usb1="080F0000" w:usb2="00000000" w:usb3="00000000" w:csb0="0004009F" w:csb1="DFD70000"/>
    <w:embedRegular r:id="rId3" w:fontKey="{3C2848D9-7DDF-42D7-93B0-4CDAF62EFA8B}"/>
  </w:font>
  <w:font w:name="方正小标宋简体">
    <w:panose1 w:val="03000509000000000000"/>
    <w:charset w:val="86"/>
    <w:family w:val="auto"/>
    <w:pitch w:val="default"/>
    <w:sig w:usb0="00000001" w:usb1="080E0000" w:usb2="00000000" w:usb3="00000000" w:csb0="00040000" w:csb1="00000000"/>
    <w:embedRegular r:id="rId4" w:fontKey="{9D5B452C-7345-412B-94D5-8B88EFAA849A}"/>
  </w:font>
  <w:font w:name="楷体_GB2312">
    <w:panose1 w:val="02010609030101010101"/>
    <w:charset w:val="86"/>
    <w:family w:val="auto"/>
    <w:pitch w:val="default"/>
    <w:sig w:usb0="00000001" w:usb1="080E0000" w:usb2="00000000" w:usb3="00000000" w:csb0="00040000" w:csb1="00000000"/>
    <w:embedRegular r:id="rId5" w:fontKey="{2842E1A3-A3FC-490C-A5FF-8D026A3F4305}"/>
  </w:font>
  <w:font w:name="方正仿宋_GBK">
    <w:panose1 w:val="02000000000000000000"/>
    <w:charset w:val="86"/>
    <w:family w:val="auto"/>
    <w:pitch w:val="default"/>
    <w:sig w:usb0="A00002BF" w:usb1="38CF7CFA" w:usb2="00082016" w:usb3="00000000" w:csb0="00040001" w:csb1="00000000"/>
    <w:embedRegular r:id="rId6" w:fontKey="{AC8B6823-3958-43E7-ACDA-33112EC6428B}"/>
  </w:font>
  <w:font w:name="楷体">
    <w:panose1 w:val="02010609060101010101"/>
    <w:charset w:val="86"/>
    <w:family w:val="modern"/>
    <w:pitch w:val="default"/>
    <w:sig w:usb0="800002BF" w:usb1="38CF7CFA" w:usb2="00000016" w:usb3="00000000" w:csb0="00040001" w:csb1="00000000"/>
    <w:embedRegular r:id="rId7" w:fontKey="{83F77284-02B1-4CD7-A2B4-E1522E51E1D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F1F0DB6">
        <w:pPr>
          <w:pStyle w:val="6"/>
          <w:jc w:val="center"/>
        </w:pPr>
        <w:r>
          <w:fldChar w:fldCharType="begin"/>
        </w:r>
        <w:r>
          <w:instrText xml:space="preserve">PAGE   \* MERGEFORMAT</w:instrText>
        </w:r>
        <w:r>
          <w:fldChar w:fldCharType="separate"/>
        </w:r>
        <w:r>
          <w:rPr>
            <w:lang w:val="zh-CN"/>
          </w:rPr>
          <w:t>13</w:t>
        </w:r>
        <w:r>
          <w:fldChar w:fldCharType="end"/>
        </w:r>
      </w:p>
    </w:sdtContent>
  </w:sdt>
  <w:p w14:paraId="7C6D682F">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69E5089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3B52434A73374AD88E87AAA4E99B3A39_13</vt:lpwstr>
  </property>
  <property fmtid="{D5CDD505-2E9C-101B-9397-08002B2CF9AE}" pid="4" name="KSOTemplateDocerSaveRecord">
    <vt:lpwstr>eyJoZGlkIjoiMTRmNjY0ZWQ2ZTNmMmM4NGQzOTBjMGE4MjEzYWZmYzAiLCJ1c2VySWQiOiIyMDY4Mzg5MjEifQ==</vt:lpwstr>
  </property>
</Properties>
</file>

<file path=customXml/itemProps1.xml><?xml version="1.0" encoding="utf-8"?>
<ds:datastoreItem xmlns:ds="http://schemas.openxmlformats.org/officeDocument/2006/customXml" ds:itemID="{d26865ca-7446-469a-93c0-dc29156ecb64}">
  <ds:schemaRefs/>
</ds:datastoreItem>
</file>

<file path=docProps/app.xml><?xml version="1.0" encoding="utf-8"?>
<Properties xmlns="http://schemas.openxmlformats.org/officeDocument/2006/extended-properties" xmlns:vt="http://schemas.openxmlformats.org/officeDocument/2006/docPropsVTypes">
  <Template>Normal</Template>
  <Pages>22</Pages>
  <Words>6079</Words>
  <Characters>6282</Characters>
  <Lines>58</Lines>
  <Paragraphs>16</Paragraphs>
  <TotalTime>17</TotalTime>
  <ScaleCrop>false</ScaleCrop>
  <LinksUpToDate>false</LinksUpToDate>
  <CharactersWithSpaces>6290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cp:lastPrinted>2025-05-15T02:13:00Z</cp:lastPrinted>
  <dcterms:modified xsi:type="dcterms:W3CDTF">2025-11-13T05:34:42Z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3B52434A73374AD88E87AAA4E99B3A39_13</vt:lpwstr>
  </property>
  <property fmtid="{D5CDD505-2E9C-101B-9397-08002B2CF9AE}" pid="4" name="KSOTemplateDocerSaveRecord">
    <vt:lpwstr>eyJoZGlkIjoiMTRmNjY0ZWQ2ZTNmMmM4NGQzOTBjMGE4MjEzYWZmYzAiLCJ1c2VySWQiOiIyMDY4Mzg5MjEifQ_x003D__x003D_</vt:lpwstr>
  </property>
</Properties>
</file>